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BA1D" w14:textId="4390D4C4" w:rsidR="00050EAE" w:rsidRDefault="004101C4" w:rsidP="00CD618E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F092D44" wp14:editId="47501F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5535" cy="1273810"/>
            <wp:effectExtent l="0" t="0" r="12065" b="0"/>
            <wp:wrapTight wrapText="bothSides">
              <wp:wrapPolygon edited="0">
                <wp:start x="0" y="0"/>
                <wp:lineTo x="0" y="21105"/>
                <wp:lineTo x="21479" y="21105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 Logo CMYK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FB655" w14:textId="77777777" w:rsidR="004101C4" w:rsidRDefault="004101C4" w:rsidP="004101C4">
      <w:pPr>
        <w:ind w:left="1020" w:firstLine="420"/>
      </w:pPr>
    </w:p>
    <w:p w14:paraId="7EB18BD5" w14:textId="03F5D5A8" w:rsidR="00407ACC" w:rsidRDefault="00050EAE" w:rsidP="00C86579">
      <w:pPr>
        <w:ind w:left="720"/>
        <w:jc w:val="center"/>
        <w:rPr>
          <w:b/>
        </w:rPr>
      </w:pPr>
      <w:r w:rsidRPr="00407ACC">
        <w:rPr>
          <w:b/>
        </w:rPr>
        <w:t xml:space="preserve">Community Health Center Tabletop Exercise </w:t>
      </w:r>
      <w:r w:rsidR="004101C4">
        <w:rPr>
          <w:b/>
        </w:rPr>
        <w:t>Planning Checklist</w:t>
      </w:r>
      <w:r w:rsidR="00C86579">
        <w:rPr>
          <w:b/>
        </w:rPr>
        <w:t xml:space="preserve"> &amp; Exercise Recommendations</w:t>
      </w:r>
    </w:p>
    <w:p w14:paraId="67D8CA6E" w14:textId="77777777" w:rsidR="004101C4" w:rsidRDefault="004101C4" w:rsidP="004101C4">
      <w:pPr>
        <w:ind w:left="720"/>
        <w:rPr>
          <w:b/>
        </w:rPr>
      </w:pPr>
    </w:p>
    <w:p w14:paraId="02DAD15B" w14:textId="77777777" w:rsidR="004101C4" w:rsidRDefault="004101C4" w:rsidP="004101C4">
      <w:pPr>
        <w:ind w:left="720"/>
        <w:rPr>
          <w:b/>
        </w:rPr>
      </w:pPr>
    </w:p>
    <w:p w14:paraId="7C4E6FF9" w14:textId="77777777" w:rsidR="00407ACC" w:rsidRDefault="00407ACC" w:rsidP="00407ACC">
      <w:pPr>
        <w:ind w:firstLine="720"/>
        <w:jc w:val="center"/>
        <w:rPr>
          <w:b/>
        </w:rPr>
      </w:pPr>
    </w:p>
    <w:p w14:paraId="7AAC518F" w14:textId="77777777" w:rsidR="004101C4" w:rsidRDefault="004101C4" w:rsidP="00407ACC">
      <w:pPr>
        <w:rPr>
          <w:u w:val="single"/>
        </w:rPr>
      </w:pPr>
    </w:p>
    <w:p w14:paraId="0BE16ED5" w14:textId="77777777" w:rsidR="004101C4" w:rsidRDefault="004101C4" w:rsidP="00407ACC">
      <w:pPr>
        <w:rPr>
          <w:u w:val="single"/>
        </w:rPr>
      </w:pPr>
    </w:p>
    <w:p w14:paraId="682A9E90" w14:textId="77777777" w:rsidR="00105372" w:rsidRPr="00A619FB" w:rsidRDefault="00407ACC" w:rsidP="00407ACC">
      <w:pPr>
        <w:rPr>
          <w:u w:val="single"/>
        </w:rPr>
      </w:pPr>
      <w:r w:rsidRPr="00A619FB">
        <w:rPr>
          <w:u w:val="single"/>
        </w:rPr>
        <w:t>3</w:t>
      </w:r>
      <w:r w:rsidR="008605BA">
        <w:rPr>
          <w:u w:val="single"/>
        </w:rPr>
        <w:t xml:space="preserve"> </w:t>
      </w:r>
      <w:r w:rsidRPr="00A619FB">
        <w:rPr>
          <w:u w:val="single"/>
        </w:rPr>
        <w:t>-</w:t>
      </w:r>
      <w:r w:rsidR="008605BA">
        <w:rPr>
          <w:u w:val="single"/>
        </w:rPr>
        <w:t xml:space="preserve"> </w:t>
      </w:r>
      <w:r w:rsidRPr="00A619FB">
        <w:rPr>
          <w:u w:val="single"/>
        </w:rPr>
        <w:t>6 months in advance of the tabletop exercise (TTX)</w:t>
      </w:r>
    </w:p>
    <w:p w14:paraId="4611E4EF" w14:textId="77777777" w:rsidR="00407ACC" w:rsidRDefault="00407ACC" w:rsidP="00407ACC"/>
    <w:p w14:paraId="378890DF" w14:textId="4F5B2253" w:rsidR="00E107D8" w:rsidRDefault="00E107D8" w:rsidP="00E107D8">
      <w:pPr>
        <w:pStyle w:val="ListParagraph"/>
        <w:numPr>
          <w:ilvl w:val="0"/>
          <w:numId w:val="1"/>
        </w:numPr>
      </w:pPr>
      <w:r>
        <w:t xml:space="preserve">Determine with your internal CHC Emergency Preparedness Committee the scenario that you will use </w:t>
      </w:r>
      <w:r w:rsidR="00406D4F">
        <w:t>which</w:t>
      </w:r>
      <w:r>
        <w:t xml:space="preserve"> reflects the hazards faced by your CHC and/or region.</w:t>
      </w:r>
    </w:p>
    <w:p w14:paraId="0D2A9202" w14:textId="77777777" w:rsidR="007B4624" w:rsidRDefault="00105372" w:rsidP="002A0F7D">
      <w:pPr>
        <w:pStyle w:val="ListParagraph"/>
        <w:numPr>
          <w:ilvl w:val="0"/>
          <w:numId w:val="1"/>
        </w:numPr>
      </w:pPr>
      <w:r>
        <w:t xml:space="preserve">Determine </w:t>
      </w:r>
      <w:r w:rsidR="007B4624">
        <w:t>which</w:t>
      </w:r>
      <w:r>
        <w:t xml:space="preserve"> part of your emergency operations plan that you want to test using a TT</w:t>
      </w:r>
      <w:r w:rsidR="007B4624">
        <w:t>X format.</w:t>
      </w:r>
    </w:p>
    <w:p w14:paraId="353005C8" w14:textId="77777777" w:rsidR="00090CC6" w:rsidRDefault="007B4624" w:rsidP="002A0F7D">
      <w:pPr>
        <w:pStyle w:val="ListParagraph"/>
        <w:numPr>
          <w:ilvl w:val="0"/>
          <w:numId w:val="1"/>
        </w:numPr>
      </w:pPr>
      <w:r>
        <w:t xml:space="preserve">Develop TTX objectives with your </w:t>
      </w:r>
      <w:r w:rsidR="00090CC6">
        <w:t xml:space="preserve">internal </w:t>
      </w:r>
      <w:r>
        <w:t xml:space="preserve">CHC Emergency Preparedness Committee. </w:t>
      </w:r>
    </w:p>
    <w:p w14:paraId="0E5AA632" w14:textId="77777777" w:rsidR="00090CC6" w:rsidRDefault="00090CC6" w:rsidP="002A0F7D">
      <w:pPr>
        <w:pStyle w:val="ListParagraph"/>
        <w:numPr>
          <w:ilvl w:val="0"/>
          <w:numId w:val="1"/>
        </w:numPr>
      </w:pPr>
      <w:r>
        <w:t>Determine the scope of how the emergency will affect your TTX, i.e., all CHC practice sites and CHC staff, or just partial staff and/or sites affected, etc.</w:t>
      </w:r>
    </w:p>
    <w:p w14:paraId="46A68C27" w14:textId="77777777" w:rsidR="00B314DF" w:rsidRDefault="002A0F7D" w:rsidP="002A0F7D">
      <w:pPr>
        <w:pStyle w:val="ListParagraph"/>
        <w:numPr>
          <w:ilvl w:val="0"/>
          <w:numId w:val="1"/>
        </w:numPr>
      </w:pPr>
      <w:r>
        <w:t xml:space="preserve">Set the date for the TTX </w:t>
      </w:r>
      <w:r w:rsidR="007B4624">
        <w:t>to</w:t>
      </w:r>
      <w:r>
        <w:t xml:space="preserve"> make sure that the appropriate CHC staff (senior leadership, including at least one representative from each department, i.e., clinical, operations, administration, etc.) </w:t>
      </w:r>
      <w:r w:rsidR="00090CC6">
        <w:t>has</w:t>
      </w:r>
      <w:r>
        <w:t xml:space="preserve"> it </w:t>
      </w:r>
      <w:r w:rsidR="00090CC6">
        <w:t>on their calendars.</w:t>
      </w:r>
      <w:r w:rsidR="00E107D8">
        <w:t xml:space="preserve"> Set aside at least two hours for the TTX to allow </w:t>
      </w:r>
      <w:r w:rsidR="00F72412">
        <w:t xml:space="preserve">full staff </w:t>
      </w:r>
      <w:r w:rsidR="00E107D8">
        <w:t xml:space="preserve">participation and debriefing. </w:t>
      </w:r>
    </w:p>
    <w:p w14:paraId="7E5B92A6" w14:textId="77777777" w:rsidR="00E107D8" w:rsidRDefault="00B314DF" w:rsidP="002A0F7D">
      <w:pPr>
        <w:pStyle w:val="ListParagraph"/>
        <w:numPr>
          <w:ilvl w:val="0"/>
          <w:numId w:val="1"/>
        </w:numPr>
      </w:pPr>
      <w:r>
        <w:t>Check with your public health, hospital, and/or office of emergency services to review their existing tabletop and/or functional exercise scenarios.</w:t>
      </w:r>
    </w:p>
    <w:p w14:paraId="1A15EC62" w14:textId="77777777" w:rsidR="00E107D8" w:rsidRDefault="00E107D8" w:rsidP="00E107D8">
      <w:pPr>
        <w:pStyle w:val="ListParagraph"/>
        <w:ind w:left="825"/>
      </w:pPr>
    </w:p>
    <w:p w14:paraId="561A2BAA" w14:textId="77777777" w:rsidR="00713DE9" w:rsidRPr="00A619FB" w:rsidRDefault="00713DE9" w:rsidP="00713DE9">
      <w:pPr>
        <w:rPr>
          <w:u w:val="single"/>
        </w:rPr>
      </w:pPr>
      <w:r w:rsidRPr="00A619FB">
        <w:rPr>
          <w:u w:val="single"/>
        </w:rPr>
        <w:t>2 months in advance</w:t>
      </w:r>
    </w:p>
    <w:p w14:paraId="4509FE36" w14:textId="77777777" w:rsidR="002A0F7D" w:rsidRDefault="002A0F7D" w:rsidP="00E107D8">
      <w:pPr>
        <w:pStyle w:val="ListParagraph"/>
        <w:ind w:left="825"/>
      </w:pPr>
    </w:p>
    <w:p w14:paraId="2B6A3536" w14:textId="76409813" w:rsidR="00B314DF" w:rsidRDefault="00713DE9" w:rsidP="002A0F7D">
      <w:pPr>
        <w:pStyle w:val="ListParagraph"/>
        <w:numPr>
          <w:ilvl w:val="0"/>
          <w:numId w:val="1"/>
        </w:numPr>
      </w:pPr>
      <w:r>
        <w:t>Review with your internal CHC Emergency Preparedness Committee</w:t>
      </w:r>
      <w:r w:rsidR="00AB4E7E">
        <w:t xml:space="preserve"> </w:t>
      </w:r>
      <w:r w:rsidR="00B314DF">
        <w:t>your existing emergency preparedness plan.</w:t>
      </w:r>
    </w:p>
    <w:p w14:paraId="2488190F" w14:textId="3A6E10C3" w:rsidR="00CA38DB" w:rsidRPr="005E1E8C" w:rsidRDefault="00B314DF" w:rsidP="00407AC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Identify the facilitator, observers, and reporters/recorder roles for each of your internal CHC </w:t>
      </w:r>
      <w:r>
        <w:t>Emergency</w:t>
      </w:r>
      <w:r w:rsidR="00406D4F">
        <w:t xml:space="preserve"> Preparedness Committee member.</w:t>
      </w:r>
      <w:r>
        <w:t xml:space="preserve"> Review their roles with each committee members so they are clear on their duties. </w:t>
      </w:r>
    </w:p>
    <w:p w14:paraId="14361005" w14:textId="77777777" w:rsidR="00CA38DB" w:rsidRDefault="00CA38DB" w:rsidP="00407ACC"/>
    <w:p w14:paraId="791152CD" w14:textId="77777777" w:rsidR="005E1E8C" w:rsidRPr="00A619FB" w:rsidRDefault="00CA38DB" w:rsidP="00407ACC">
      <w:pPr>
        <w:rPr>
          <w:u w:val="single"/>
        </w:rPr>
      </w:pPr>
      <w:r w:rsidRPr="00A619FB">
        <w:rPr>
          <w:u w:val="single"/>
        </w:rPr>
        <w:t>1 month in advance</w:t>
      </w:r>
    </w:p>
    <w:p w14:paraId="28A26B26" w14:textId="77777777" w:rsidR="004571F3" w:rsidRDefault="004571F3" w:rsidP="00407ACC"/>
    <w:p w14:paraId="79F56133" w14:textId="77777777" w:rsidR="005E1E8C" w:rsidRDefault="004571F3" w:rsidP="004571F3">
      <w:pPr>
        <w:pStyle w:val="ListParagraph"/>
        <w:numPr>
          <w:ilvl w:val="0"/>
          <w:numId w:val="1"/>
        </w:numPr>
      </w:pPr>
      <w:r>
        <w:t xml:space="preserve">Develop the injects- details that are specific to your CHC that creates “problems” that your CHC has to solve throughout the TTX. </w:t>
      </w:r>
      <w:r w:rsidRPr="00E929D9">
        <w:rPr>
          <w:b/>
        </w:rPr>
        <w:t>Don’t</w:t>
      </w:r>
      <w:r>
        <w:t xml:space="preserve"> </w:t>
      </w:r>
      <w:r w:rsidRPr="00E929D9">
        <w:rPr>
          <w:b/>
        </w:rPr>
        <w:t>share</w:t>
      </w:r>
      <w:r>
        <w:t xml:space="preserve"> the complete scenario with all staff in advance so that they </w:t>
      </w:r>
      <w:r w:rsidR="005E1E8C">
        <w:t>will be able to</w:t>
      </w:r>
      <w:r>
        <w:t xml:space="preserve"> “think on their feet”. </w:t>
      </w:r>
    </w:p>
    <w:p w14:paraId="559EDDE8" w14:textId="622FDDA0" w:rsidR="004571F3" w:rsidRDefault="005E1E8C" w:rsidP="004571F3">
      <w:pPr>
        <w:pStyle w:val="ListParagraph"/>
        <w:numPr>
          <w:ilvl w:val="0"/>
          <w:numId w:val="1"/>
        </w:numPr>
      </w:pPr>
      <w:r>
        <w:t xml:space="preserve">Have </w:t>
      </w:r>
      <w:r w:rsidR="003619BF">
        <w:t xml:space="preserve">the </w:t>
      </w:r>
      <w:r>
        <w:t>CHC Emergency Preparedness Committee</w:t>
      </w:r>
      <w:r>
        <w:rPr>
          <w:b/>
        </w:rPr>
        <w:t xml:space="preserve"> </w:t>
      </w:r>
      <w:r w:rsidRPr="005E1E8C">
        <w:t>develop</w:t>
      </w:r>
      <w:r>
        <w:t xml:space="preserve"> an agenda for the TTX. </w:t>
      </w:r>
    </w:p>
    <w:p w14:paraId="4AB3FB33" w14:textId="77777777" w:rsidR="00CA38DB" w:rsidRDefault="00CA38DB" w:rsidP="00407ACC"/>
    <w:p w14:paraId="75B8BF45" w14:textId="77777777" w:rsidR="005E1E8C" w:rsidRPr="00A619FB" w:rsidRDefault="00CA38DB" w:rsidP="00407ACC">
      <w:pPr>
        <w:rPr>
          <w:u w:val="single"/>
        </w:rPr>
      </w:pPr>
      <w:r w:rsidRPr="00A619FB">
        <w:rPr>
          <w:u w:val="single"/>
        </w:rPr>
        <w:t>1 week in advance</w:t>
      </w:r>
    </w:p>
    <w:p w14:paraId="4B8EC1E9" w14:textId="77777777" w:rsidR="004571F3" w:rsidRDefault="004571F3" w:rsidP="00407ACC"/>
    <w:p w14:paraId="3EB1ED9F" w14:textId="77777777" w:rsidR="005E1E8C" w:rsidRPr="005E1E8C" w:rsidRDefault="004571F3" w:rsidP="005E1E8C">
      <w:pPr>
        <w:pStyle w:val="ListParagraph"/>
        <w:numPr>
          <w:ilvl w:val="0"/>
          <w:numId w:val="2"/>
        </w:numPr>
      </w:pPr>
      <w:r w:rsidRPr="005E1E8C">
        <w:rPr>
          <w:bCs/>
        </w:rPr>
        <w:t xml:space="preserve">Order the </w:t>
      </w:r>
      <w:r w:rsidR="00AE5C63" w:rsidRPr="005E1E8C">
        <w:rPr>
          <w:bCs/>
        </w:rPr>
        <w:t>food;</w:t>
      </w:r>
      <w:r w:rsidRPr="005E1E8C">
        <w:rPr>
          <w:bCs/>
        </w:rPr>
        <w:t xml:space="preserve"> confirm the room, </w:t>
      </w:r>
      <w:r w:rsidR="005E1E8C">
        <w:rPr>
          <w:bCs/>
        </w:rPr>
        <w:t xml:space="preserve">the </w:t>
      </w:r>
      <w:r w:rsidRPr="005E1E8C">
        <w:rPr>
          <w:bCs/>
        </w:rPr>
        <w:t xml:space="preserve">AV equipment and </w:t>
      </w:r>
      <w:r w:rsidR="005E1E8C">
        <w:rPr>
          <w:bCs/>
        </w:rPr>
        <w:t xml:space="preserve">all the </w:t>
      </w:r>
      <w:r w:rsidRPr="005E1E8C">
        <w:rPr>
          <w:bCs/>
        </w:rPr>
        <w:t>participants</w:t>
      </w:r>
      <w:r w:rsidR="008605BA">
        <w:rPr>
          <w:bCs/>
        </w:rPr>
        <w:t>.</w:t>
      </w:r>
    </w:p>
    <w:p w14:paraId="4AF5CEC5" w14:textId="77777777" w:rsidR="005E1E8C" w:rsidRPr="005E1E8C" w:rsidRDefault="005E1E8C" w:rsidP="005E1E8C">
      <w:pPr>
        <w:pStyle w:val="ListParagraph"/>
        <w:numPr>
          <w:ilvl w:val="0"/>
          <w:numId w:val="2"/>
        </w:numPr>
      </w:pPr>
      <w:r>
        <w:rPr>
          <w:bCs/>
        </w:rPr>
        <w:t>Make copies of the CHC internal emergency preparedness plan for reference</w:t>
      </w:r>
      <w:r w:rsidR="008605BA">
        <w:rPr>
          <w:bCs/>
        </w:rPr>
        <w:t>.</w:t>
      </w:r>
    </w:p>
    <w:p w14:paraId="530A2585" w14:textId="77777777" w:rsidR="004571F3" w:rsidRPr="004571F3" w:rsidRDefault="005E1E8C" w:rsidP="005E1E8C">
      <w:pPr>
        <w:pStyle w:val="ListParagraph"/>
        <w:numPr>
          <w:ilvl w:val="0"/>
          <w:numId w:val="2"/>
        </w:numPr>
      </w:pPr>
      <w:r>
        <w:rPr>
          <w:bCs/>
        </w:rPr>
        <w:lastRenderedPageBreak/>
        <w:t>Print the TTX ground rules to remind participants about the process</w:t>
      </w:r>
      <w:r w:rsidR="008605BA">
        <w:rPr>
          <w:bCs/>
        </w:rPr>
        <w:t>.</w:t>
      </w:r>
    </w:p>
    <w:p w14:paraId="208E92B6" w14:textId="77777777" w:rsidR="00CA38DB" w:rsidRDefault="00CA38DB" w:rsidP="00407ACC"/>
    <w:p w14:paraId="189F1BA6" w14:textId="77777777" w:rsidR="00407ACC" w:rsidRPr="00A619FB" w:rsidRDefault="00CA38DB" w:rsidP="00407ACC">
      <w:pPr>
        <w:rPr>
          <w:u w:val="single"/>
        </w:rPr>
      </w:pPr>
      <w:r w:rsidRPr="00A619FB">
        <w:rPr>
          <w:u w:val="single"/>
        </w:rPr>
        <w:t>Day of TTX</w:t>
      </w:r>
    </w:p>
    <w:p w14:paraId="2AF46661" w14:textId="77777777" w:rsidR="00A86C42" w:rsidRDefault="00A86C42" w:rsidP="00407ACC"/>
    <w:p w14:paraId="7D085E1E" w14:textId="4C360949" w:rsidR="00A619FB" w:rsidRDefault="00A619FB" w:rsidP="00A619FB">
      <w:pPr>
        <w:pStyle w:val="ListParagraph"/>
        <w:numPr>
          <w:ilvl w:val="0"/>
          <w:numId w:val="3"/>
        </w:numPr>
        <w:rPr>
          <w:rFonts w:cs="Arial"/>
          <w:color w:val="000000"/>
          <w:szCs w:val="18"/>
        </w:rPr>
      </w:pPr>
      <w:r w:rsidRPr="00A619FB">
        <w:rPr>
          <w:rFonts w:cs="Arial"/>
          <w:color w:val="000000"/>
          <w:szCs w:val="18"/>
        </w:rPr>
        <w:t xml:space="preserve">Cover TTX ground rules and objectives, </w:t>
      </w:r>
      <w:r w:rsidR="00406D4F">
        <w:rPr>
          <w:rFonts w:cs="Arial"/>
          <w:color w:val="000000"/>
          <w:szCs w:val="18"/>
        </w:rPr>
        <w:t>identify</w:t>
      </w:r>
      <w:r w:rsidRPr="00A619FB">
        <w:rPr>
          <w:rFonts w:cs="Arial"/>
          <w:color w:val="000000"/>
          <w:szCs w:val="18"/>
        </w:rPr>
        <w:t xml:space="preserve"> the facilitator, observer, and recorders with participants</w:t>
      </w:r>
      <w:r w:rsidR="008605BA">
        <w:rPr>
          <w:rFonts w:cs="Arial"/>
          <w:color w:val="000000"/>
          <w:szCs w:val="18"/>
        </w:rPr>
        <w:t>.</w:t>
      </w:r>
    </w:p>
    <w:p w14:paraId="0FD01805" w14:textId="17D5050F" w:rsidR="003619BF" w:rsidRDefault="003619BF" w:rsidP="00A619FB">
      <w:pPr>
        <w:pStyle w:val="ListParagraph"/>
        <w:numPr>
          <w:ilvl w:val="0"/>
          <w:numId w:val="3"/>
        </w:num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Conduct TTX with the players. </w:t>
      </w:r>
    </w:p>
    <w:p w14:paraId="450F9EA8" w14:textId="77777777" w:rsidR="00A619FB" w:rsidRDefault="00A619FB" w:rsidP="00A619FB">
      <w:pPr>
        <w:pStyle w:val="ListParagraph"/>
        <w:numPr>
          <w:ilvl w:val="0"/>
          <w:numId w:val="3"/>
        </w:numPr>
        <w:rPr>
          <w:rFonts w:cs="Arial"/>
          <w:color w:val="000000"/>
          <w:szCs w:val="18"/>
        </w:rPr>
      </w:pPr>
      <w:r w:rsidRPr="00A619FB">
        <w:rPr>
          <w:rFonts w:cs="Arial"/>
          <w:color w:val="000000"/>
          <w:szCs w:val="18"/>
        </w:rPr>
        <w:t>Have copies of CHC EP plan available for reference</w:t>
      </w:r>
      <w:r w:rsidR="008605BA">
        <w:rPr>
          <w:rFonts w:cs="Arial"/>
          <w:color w:val="000000"/>
          <w:szCs w:val="18"/>
        </w:rPr>
        <w:t>.</w:t>
      </w:r>
    </w:p>
    <w:p w14:paraId="03467351" w14:textId="77777777" w:rsidR="00A619FB" w:rsidRPr="00A619FB" w:rsidRDefault="00A619FB" w:rsidP="00A619FB">
      <w:pPr>
        <w:pStyle w:val="ListParagraph"/>
        <w:numPr>
          <w:ilvl w:val="0"/>
          <w:numId w:val="3"/>
        </w:numPr>
        <w:rPr>
          <w:rFonts w:cs="Arial"/>
          <w:color w:val="000000"/>
          <w:szCs w:val="18"/>
        </w:rPr>
      </w:pPr>
      <w:r w:rsidRPr="00A619FB">
        <w:rPr>
          <w:rFonts w:cs="Arial"/>
          <w:color w:val="000000"/>
          <w:szCs w:val="18"/>
        </w:rPr>
        <w:t>Conduct TTX “hotwash” immediately after and record participant</w:t>
      </w:r>
      <w:r>
        <w:rPr>
          <w:rFonts w:cs="Arial"/>
          <w:color w:val="000000"/>
          <w:szCs w:val="18"/>
        </w:rPr>
        <w:t>’</w:t>
      </w:r>
      <w:r w:rsidRPr="00A619FB">
        <w:rPr>
          <w:rFonts w:cs="Arial"/>
          <w:color w:val="000000"/>
          <w:szCs w:val="18"/>
        </w:rPr>
        <w:t>s experiences</w:t>
      </w:r>
      <w:r w:rsidR="008605BA">
        <w:rPr>
          <w:rFonts w:cs="Arial"/>
          <w:color w:val="000000"/>
          <w:szCs w:val="18"/>
        </w:rPr>
        <w:t>.</w:t>
      </w:r>
    </w:p>
    <w:p w14:paraId="40C2AD90" w14:textId="77777777" w:rsidR="00A619FB" w:rsidRDefault="00A619FB" w:rsidP="00A619FB">
      <w:pPr>
        <w:rPr>
          <w:rFonts w:cs="Arial"/>
          <w:color w:val="000000"/>
          <w:szCs w:val="18"/>
        </w:rPr>
      </w:pPr>
    </w:p>
    <w:p w14:paraId="07893D91" w14:textId="77777777" w:rsidR="00A619FB" w:rsidRDefault="00A619FB" w:rsidP="00A619FB">
      <w:pPr>
        <w:rPr>
          <w:rFonts w:cs="Arial"/>
          <w:color w:val="000000"/>
          <w:szCs w:val="18"/>
          <w:u w:val="single"/>
        </w:rPr>
      </w:pPr>
      <w:r w:rsidRPr="00A619FB">
        <w:rPr>
          <w:rFonts w:cs="Arial"/>
          <w:color w:val="000000"/>
          <w:szCs w:val="18"/>
          <w:u w:val="single"/>
        </w:rPr>
        <w:t>1 -2 weeks after</w:t>
      </w:r>
    </w:p>
    <w:p w14:paraId="370B9C66" w14:textId="77777777" w:rsidR="00A619FB" w:rsidRPr="00A619FB" w:rsidRDefault="00A619FB" w:rsidP="00A619FB">
      <w:pPr>
        <w:rPr>
          <w:rFonts w:cs="Arial"/>
          <w:color w:val="000000"/>
          <w:szCs w:val="18"/>
          <w:u w:val="single"/>
        </w:rPr>
      </w:pPr>
    </w:p>
    <w:p w14:paraId="537BBBC9" w14:textId="77777777" w:rsidR="00A619FB" w:rsidRDefault="00A619FB" w:rsidP="00A619FB">
      <w:pPr>
        <w:pStyle w:val="ListParagraph"/>
        <w:numPr>
          <w:ilvl w:val="0"/>
          <w:numId w:val="4"/>
        </w:numPr>
        <w:rPr>
          <w:rFonts w:cs="Arial"/>
          <w:color w:val="000000"/>
          <w:szCs w:val="18"/>
        </w:rPr>
      </w:pPr>
      <w:r w:rsidRPr="00A619FB">
        <w:rPr>
          <w:rFonts w:cs="Arial"/>
          <w:color w:val="000000"/>
          <w:szCs w:val="18"/>
        </w:rPr>
        <w:t>Develop your After Action Report (AAR)</w:t>
      </w:r>
      <w:r w:rsidR="00E929D9">
        <w:rPr>
          <w:rFonts w:cs="Arial"/>
          <w:color w:val="000000"/>
          <w:szCs w:val="18"/>
        </w:rPr>
        <w:t xml:space="preserve"> that evaluates the TTX based upon the predetermined objectives. </w:t>
      </w:r>
    </w:p>
    <w:p w14:paraId="4CDFF9D7" w14:textId="500F113B" w:rsidR="00D658E5" w:rsidRDefault="00A619FB" w:rsidP="00A619FB">
      <w:pPr>
        <w:pStyle w:val="ListParagraph"/>
        <w:numPr>
          <w:ilvl w:val="0"/>
          <w:numId w:val="4"/>
        </w:numPr>
        <w:rPr>
          <w:rFonts w:cs="Arial"/>
          <w:color w:val="000000"/>
          <w:szCs w:val="18"/>
        </w:rPr>
      </w:pPr>
      <w:r w:rsidRPr="00A619FB">
        <w:rPr>
          <w:rFonts w:cs="Arial"/>
          <w:color w:val="000000"/>
          <w:szCs w:val="18"/>
        </w:rPr>
        <w:t xml:space="preserve">Review AAR with your CHC EP </w:t>
      </w:r>
      <w:r w:rsidR="002F587C">
        <w:rPr>
          <w:rFonts w:cs="Arial"/>
          <w:color w:val="000000"/>
          <w:szCs w:val="18"/>
        </w:rPr>
        <w:t>Committee</w:t>
      </w:r>
      <w:r w:rsidRPr="00A619FB">
        <w:rPr>
          <w:rFonts w:cs="Arial"/>
          <w:color w:val="000000"/>
          <w:szCs w:val="18"/>
        </w:rPr>
        <w:t xml:space="preserve"> for changes to EP plan </w:t>
      </w:r>
      <w:r w:rsidR="002F587C">
        <w:rPr>
          <w:rFonts w:cs="Arial"/>
          <w:color w:val="000000"/>
          <w:szCs w:val="18"/>
        </w:rPr>
        <w:t>that will be reflected in your</w:t>
      </w:r>
      <w:r w:rsidRPr="00A619FB">
        <w:rPr>
          <w:rFonts w:cs="Arial"/>
          <w:color w:val="000000"/>
          <w:szCs w:val="18"/>
        </w:rPr>
        <w:t xml:space="preserve"> improvement plan</w:t>
      </w:r>
      <w:r w:rsidR="00E929D9">
        <w:rPr>
          <w:rFonts w:cs="Arial"/>
          <w:color w:val="000000"/>
          <w:szCs w:val="18"/>
        </w:rPr>
        <w:t xml:space="preserve">. </w:t>
      </w:r>
    </w:p>
    <w:p w14:paraId="4780958E" w14:textId="77777777" w:rsidR="00D658E5" w:rsidRDefault="00D658E5" w:rsidP="00D658E5">
      <w:pPr>
        <w:rPr>
          <w:rFonts w:cs="Arial"/>
          <w:color w:val="000000"/>
          <w:szCs w:val="18"/>
        </w:rPr>
      </w:pPr>
    </w:p>
    <w:p w14:paraId="2AF64A5E" w14:textId="77777777" w:rsidR="00D658E5" w:rsidRPr="00D658E5" w:rsidRDefault="00D658E5" w:rsidP="00D658E5">
      <w:pPr>
        <w:rPr>
          <w:rFonts w:cs="Arial"/>
          <w:color w:val="000000"/>
          <w:szCs w:val="18"/>
          <w:u w:val="single"/>
        </w:rPr>
      </w:pPr>
      <w:r w:rsidRPr="00D658E5">
        <w:rPr>
          <w:rFonts w:cs="Arial"/>
          <w:color w:val="000000"/>
          <w:szCs w:val="18"/>
          <w:u w:val="single"/>
        </w:rPr>
        <w:t>TTX Scenario Development Tips</w:t>
      </w:r>
    </w:p>
    <w:p w14:paraId="458FD390" w14:textId="77777777" w:rsidR="00D658E5" w:rsidRPr="00D658E5" w:rsidRDefault="00D658E5" w:rsidP="00D658E5">
      <w:pPr>
        <w:pStyle w:val="ListParagraph"/>
        <w:numPr>
          <w:ilvl w:val="0"/>
          <w:numId w:val="5"/>
        </w:numPr>
        <w:rPr>
          <w:rFonts w:cs="Arial"/>
          <w:color w:val="000000"/>
          <w:szCs w:val="18"/>
        </w:rPr>
      </w:pPr>
      <w:r w:rsidRPr="00D658E5">
        <w:rPr>
          <w:rFonts w:cs="Arial"/>
          <w:bCs/>
          <w:color w:val="000000"/>
          <w:szCs w:val="18"/>
        </w:rPr>
        <w:t>Make it a plausible, known threat either for a man-made or natural disaster event your community could face</w:t>
      </w:r>
      <w:r w:rsidR="008605BA">
        <w:rPr>
          <w:rFonts w:cs="Arial"/>
          <w:bCs/>
          <w:color w:val="000000"/>
          <w:szCs w:val="18"/>
        </w:rPr>
        <w:t>.</w:t>
      </w:r>
    </w:p>
    <w:p w14:paraId="39B405DE" w14:textId="77777777" w:rsidR="00D658E5" w:rsidRPr="00D658E5" w:rsidRDefault="00D658E5" w:rsidP="00D658E5">
      <w:pPr>
        <w:pStyle w:val="ListParagraph"/>
        <w:numPr>
          <w:ilvl w:val="0"/>
          <w:numId w:val="5"/>
        </w:numPr>
        <w:rPr>
          <w:rFonts w:cs="Arial"/>
          <w:color w:val="000000"/>
          <w:szCs w:val="18"/>
        </w:rPr>
      </w:pPr>
      <w:r w:rsidRPr="00D658E5">
        <w:rPr>
          <w:rFonts w:cs="Arial"/>
          <w:bCs/>
          <w:color w:val="000000"/>
          <w:szCs w:val="18"/>
        </w:rPr>
        <w:t xml:space="preserve">Modularize your TTX to include several timeframes of emergency response and recovery, i.e., at the time of the event, 6 hours later, the next day, the next week, etc. </w:t>
      </w:r>
    </w:p>
    <w:p w14:paraId="4A51E539" w14:textId="77777777" w:rsidR="00D658E5" w:rsidRPr="00D658E5" w:rsidRDefault="00D658E5" w:rsidP="00D658E5">
      <w:pPr>
        <w:pStyle w:val="ListParagraph"/>
        <w:numPr>
          <w:ilvl w:val="0"/>
          <w:numId w:val="5"/>
        </w:numPr>
        <w:rPr>
          <w:rFonts w:cs="Arial"/>
          <w:color w:val="000000"/>
          <w:szCs w:val="18"/>
        </w:rPr>
      </w:pPr>
      <w:r w:rsidRPr="00D658E5">
        <w:rPr>
          <w:rFonts w:cs="Arial"/>
          <w:bCs/>
          <w:color w:val="000000"/>
          <w:szCs w:val="18"/>
        </w:rPr>
        <w:t xml:space="preserve">Once comfortable with conducting internal TTXs, invite local stakeholders to join you the next time- CHC Board members, public health, hospital, office of emergency services, community organizations, etc. </w:t>
      </w:r>
    </w:p>
    <w:p w14:paraId="42D391CD" w14:textId="77777777" w:rsidR="00A86C42" w:rsidRPr="00713DE9" w:rsidRDefault="00A86C42" w:rsidP="00A86C42">
      <w:pPr>
        <w:rPr>
          <w:rFonts w:cs="Arial"/>
          <w:color w:val="000000"/>
          <w:szCs w:val="18"/>
        </w:rPr>
      </w:pPr>
    </w:p>
    <w:p w14:paraId="498D33FF" w14:textId="22A3E89F" w:rsidR="00105372" w:rsidRDefault="002D35C2" w:rsidP="00A86C42">
      <w:pPr>
        <w:rPr>
          <w:rFonts w:cs="Arial Black"/>
          <w:bCs/>
          <w:color w:val="000000"/>
          <w:szCs w:val="60"/>
        </w:rPr>
      </w:pPr>
      <w:r>
        <w:t>Some of the content in this</w:t>
      </w:r>
      <w:r w:rsidR="00A86C42">
        <w:t xml:space="preserve"> document was adapted from the </w:t>
      </w:r>
      <w:r w:rsidR="00105372">
        <w:t xml:space="preserve">United States Department of Commerce, </w:t>
      </w:r>
      <w:r w:rsidR="00A86C42">
        <w:t>National Institute of Standards and Technology</w:t>
      </w:r>
      <w:r w:rsidR="00105372">
        <w:t>,</w:t>
      </w:r>
      <w:r w:rsidR="00A86C42">
        <w:t xml:space="preserve"> </w:t>
      </w:r>
      <w:r w:rsidR="00A86C42" w:rsidRPr="00105372">
        <w:rPr>
          <w:rFonts w:cs="Arial Black"/>
          <w:bCs/>
          <w:i/>
          <w:color w:val="000000"/>
          <w:szCs w:val="60"/>
        </w:rPr>
        <w:t>Guide to Test, Training, and Exercise Programs for IT Plans and Capabilities</w:t>
      </w:r>
      <w:r w:rsidR="00105372">
        <w:rPr>
          <w:rFonts w:cs="Arial Black"/>
          <w:bCs/>
          <w:i/>
          <w:color w:val="000000"/>
          <w:szCs w:val="60"/>
        </w:rPr>
        <w:t xml:space="preserve">, </w:t>
      </w:r>
      <w:r w:rsidR="00105372">
        <w:rPr>
          <w:rFonts w:cs="Arial Black"/>
          <w:bCs/>
          <w:color w:val="000000"/>
          <w:szCs w:val="60"/>
        </w:rPr>
        <w:t xml:space="preserve">September 2006. To access complete guide, please visit: </w:t>
      </w:r>
      <w:hyperlink r:id="rId8" w:history="1">
        <w:r w:rsidR="00105372" w:rsidRPr="00105372">
          <w:rPr>
            <w:rStyle w:val="Hyperlink"/>
            <w:rFonts w:cs="Arial Black"/>
            <w:bCs/>
            <w:szCs w:val="60"/>
          </w:rPr>
          <w:t>NIST Guide.</w:t>
        </w:r>
      </w:hyperlink>
      <w:r w:rsidR="00105372">
        <w:rPr>
          <w:rFonts w:cs="Arial Black"/>
          <w:bCs/>
          <w:color w:val="000000"/>
          <w:szCs w:val="60"/>
        </w:rPr>
        <w:t xml:space="preserve"> </w:t>
      </w:r>
    </w:p>
    <w:p w14:paraId="7BF41D4D" w14:textId="77777777" w:rsidR="00C86579" w:rsidRDefault="00C86579" w:rsidP="00A86C42">
      <w:pPr>
        <w:rPr>
          <w:rFonts w:cs="Arial Black"/>
          <w:bCs/>
          <w:color w:val="000000"/>
          <w:szCs w:val="60"/>
        </w:rPr>
      </w:pPr>
    </w:p>
    <w:p w14:paraId="09123778" w14:textId="77777777" w:rsidR="00C86579" w:rsidRDefault="00C86579" w:rsidP="00C86579">
      <w:pPr>
        <w:pStyle w:val="ListParagraph"/>
        <w:rPr>
          <w:b/>
        </w:rPr>
      </w:pPr>
    </w:p>
    <w:p w14:paraId="1AE6BB3B" w14:textId="77777777" w:rsidR="00C86579" w:rsidRDefault="00C86579" w:rsidP="00C86579">
      <w:pPr>
        <w:pStyle w:val="ListParagraph"/>
        <w:rPr>
          <w:b/>
        </w:rPr>
      </w:pPr>
    </w:p>
    <w:p w14:paraId="20A98899" w14:textId="77777777" w:rsidR="00C86579" w:rsidRDefault="00C86579" w:rsidP="00C86579">
      <w:pPr>
        <w:pStyle w:val="ListParagraph"/>
        <w:rPr>
          <w:b/>
        </w:rPr>
      </w:pPr>
    </w:p>
    <w:p w14:paraId="22EA17F8" w14:textId="77777777" w:rsidR="00C86579" w:rsidRDefault="00C86579" w:rsidP="00C86579">
      <w:pPr>
        <w:pStyle w:val="ListParagraph"/>
        <w:rPr>
          <w:b/>
        </w:rPr>
      </w:pPr>
    </w:p>
    <w:p w14:paraId="09A65C64" w14:textId="77777777" w:rsidR="00C86579" w:rsidRDefault="00C86579" w:rsidP="00C86579">
      <w:pPr>
        <w:pStyle w:val="ListParagraph"/>
        <w:rPr>
          <w:b/>
        </w:rPr>
      </w:pPr>
    </w:p>
    <w:p w14:paraId="4E330CE5" w14:textId="77777777" w:rsidR="00C86579" w:rsidRDefault="00C86579" w:rsidP="00C86579">
      <w:pPr>
        <w:pStyle w:val="ListParagraph"/>
        <w:rPr>
          <w:b/>
        </w:rPr>
      </w:pPr>
    </w:p>
    <w:p w14:paraId="1782793F" w14:textId="77777777" w:rsidR="00C86579" w:rsidRDefault="00C86579" w:rsidP="00C86579">
      <w:pPr>
        <w:pStyle w:val="ListParagraph"/>
        <w:rPr>
          <w:b/>
        </w:rPr>
      </w:pPr>
    </w:p>
    <w:p w14:paraId="03722761" w14:textId="77777777" w:rsidR="00C86579" w:rsidRDefault="00C86579" w:rsidP="00C86579">
      <w:pPr>
        <w:pStyle w:val="ListParagraph"/>
        <w:rPr>
          <w:b/>
        </w:rPr>
      </w:pPr>
    </w:p>
    <w:p w14:paraId="4D5D5E46" w14:textId="77777777" w:rsidR="00C86579" w:rsidRDefault="00C86579" w:rsidP="00C86579">
      <w:pPr>
        <w:pStyle w:val="ListParagraph"/>
        <w:rPr>
          <w:b/>
        </w:rPr>
      </w:pPr>
    </w:p>
    <w:p w14:paraId="11F67973" w14:textId="77777777" w:rsidR="00C86579" w:rsidRDefault="00C86579" w:rsidP="00C86579">
      <w:pPr>
        <w:pStyle w:val="ListParagraph"/>
        <w:rPr>
          <w:b/>
        </w:rPr>
      </w:pPr>
    </w:p>
    <w:p w14:paraId="379DF856" w14:textId="77777777" w:rsidR="00C86579" w:rsidRDefault="00C86579" w:rsidP="00C86579">
      <w:pPr>
        <w:pStyle w:val="ListParagraph"/>
        <w:rPr>
          <w:b/>
        </w:rPr>
      </w:pPr>
    </w:p>
    <w:p w14:paraId="424CC0A0" w14:textId="77777777" w:rsidR="00C86579" w:rsidRDefault="00C86579" w:rsidP="00C86579">
      <w:pPr>
        <w:pStyle w:val="ListParagraph"/>
        <w:rPr>
          <w:b/>
        </w:rPr>
      </w:pPr>
    </w:p>
    <w:p w14:paraId="15869B9C" w14:textId="77777777" w:rsidR="00C86579" w:rsidRDefault="00C86579" w:rsidP="00C86579">
      <w:pPr>
        <w:pStyle w:val="ListParagraph"/>
        <w:rPr>
          <w:b/>
        </w:rPr>
      </w:pPr>
    </w:p>
    <w:p w14:paraId="680C6F35" w14:textId="77777777" w:rsidR="00C86579" w:rsidRDefault="00C86579" w:rsidP="00C86579">
      <w:pPr>
        <w:pStyle w:val="ListParagraph"/>
        <w:rPr>
          <w:b/>
        </w:rPr>
      </w:pPr>
    </w:p>
    <w:p w14:paraId="2842C0C2" w14:textId="77777777" w:rsidR="000C6737" w:rsidRDefault="000C6737" w:rsidP="00C86579">
      <w:pPr>
        <w:pStyle w:val="ListParagraph"/>
        <w:jc w:val="center"/>
        <w:rPr>
          <w:b/>
        </w:rPr>
      </w:pPr>
    </w:p>
    <w:p w14:paraId="47622D86" w14:textId="1368CA25" w:rsidR="00C86579" w:rsidRPr="006127AF" w:rsidRDefault="00C86579" w:rsidP="00C86579">
      <w:pPr>
        <w:pStyle w:val="ListParagraph"/>
        <w:jc w:val="center"/>
        <w:rPr>
          <w:b/>
        </w:rPr>
      </w:pPr>
      <w:bookmarkStart w:id="0" w:name="_GoBack"/>
      <w:bookmarkEnd w:id="0"/>
      <w:r w:rsidRPr="006127AF">
        <w:rPr>
          <w:b/>
        </w:rPr>
        <w:t>Drill and Exercise Recommendation Table</w:t>
      </w:r>
    </w:p>
    <w:p w14:paraId="74FE5C5F" w14:textId="18626FD4" w:rsidR="00C86579" w:rsidRPr="006127AF" w:rsidRDefault="00C86579" w:rsidP="00C86579">
      <w:pPr>
        <w:pStyle w:val="ListParagraph"/>
      </w:pPr>
      <w:r w:rsidRPr="006127AF">
        <w:t xml:space="preserve">Below are recommendations for when to conduct drills and exercises to test and refine your plans. </w:t>
      </w:r>
    </w:p>
    <w:p w14:paraId="5D2AA2F1" w14:textId="77777777" w:rsidR="00C86579" w:rsidRPr="006127AF" w:rsidRDefault="00C86579" w:rsidP="00C8657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86579" w:rsidRPr="00C86579" w14:paraId="5BA2195D" w14:textId="77777777" w:rsidTr="00C86579">
        <w:trPr>
          <w:tblHeader/>
        </w:trPr>
        <w:tc>
          <w:tcPr>
            <w:tcW w:w="2876" w:type="dxa"/>
            <w:shd w:val="clear" w:color="auto" w:fill="4BACC6" w:themeFill="accent5"/>
          </w:tcPr>
          <w:p w14:paraId="47B9F043" w14:textId="77777777" w:rsidR="00C86579" w:rsidRPr="00C86579" w:rsidRDefault="00C86579" w:rsidP="002106F7">
            <w:pPr>
              <w:pStyle w:val="ListParagraph"/>
              <w:ind w:left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86579">
              <w:rPr>
                <w:b/>
                <w:bCs/>
                <w:color w:val="FFFFFF" w:themeColor="background1"/>
                <w:sz w:val="22"/>
                <w:szCs w:val="22"/>
              </w:rPr>
              <w:t>Drill or Exercise Activity</w:t>
            </w:r>
          </w:p>
          <w:p w14:paraId="434305B8" w14:textId="77777777" w:rsidR="00C86579" w:rsidRPr="00C86579" w:rsidRDefault="00C86579" w:rsidP="002106F7">
            <w:pPr>
              <w:pStyle w:val="ListParagraph"/>
              <w:ind w:left="0"/>
              <w:rPr>
                <w:color w:val="FFFFFF" w:themeColor="background1"/>
              </w:rPr>
            </w:pPr>
          </w:p>
        </w:tc>
        <w:tc>
          <w:tcPr>
            <w:tcW w:w="2877" w:type="dxa"/>
            <w:shd w:val="clear" w:color="auto" w:fill="4BACC6" w:themeFill="accent5"/>
          </w:tcPr>
          <w:p w14:paraId="7D3F3357" w14:textId="77777777" w:rsidR="00C86579" w:rsidRPr="00C86579" w:rsidRDefault="00C86579" w:rsidP="002106F7">
            <w:pPr>
              <w:pStyle w:val="ListParagraph"/>
              <w:ind w:left="0"/>
              <w:rPr>
                <w:color w:val="FFFFFF" w:themeColor="background1"/>
              </w:rPr>
            </w:pPr>
            <w:r w:rsidRPr="00C86579">
              <w:rPr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2877" w:type="dxa"/>
            <w:shd w:val="clear" w:color="auto" w:fill="4BACC6" w:themeFill="accent5"/>
          </w:tcPr>
          <w:p w14:paraId="7CA18617" w14:textId="77777777" w:rsidR="00C86579" w:rsidRPr="00C86579" w:rsidRDefault="00C86579" w:rsidP="002106F7">
            <w:pPr>
              <w:pStyle w:val="ListParagraph"/>
              <w:ind w:left="0"/>
              <w:rPr>
                <w:color w:val="FFFFFF" w:themeColor="background1"/>
              </w:rPr>
            </w:pPr>
            <w:r w:rsidRPr="00C86579">
              <w:rPr>
                <w:b/>
                <w:bCs/>
                <w:color w:val="FFFFFF" w:themeColor="background1"/>
              </w:rPr>
              <w:t xml:space="preserve">Task </w:t>
            </w:r>
          </w:p>
        </w:tc>
      </w:tr>
      <w:tr w:rsidR="00C86579" w:rsidRPr="006127AF" w14:paraId="732BB8F6" w14:textId="77777777" w:rsidTr="002106F7">
        <w:tc>
          <w:tcPr>
            <w:tcW w:w="2876" w:type="dxa"/>
          </w:tcPr>
          <w:p w14:paraId="74B3EC1C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 xml:space="preserve">Drill </w:t>
            </w:r>
          </w:p>
        </w:tc>
        <w:tc>
          <w:tcPr>
            <w:tcW w:w="2877" w:type="dxa"/>
          </w:tcPr>
          <w:p w14:paraId="3575DA85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Monthly</w:t>
            </w:r>
          </w:p>
        </w:tc>
        <w:tc>
          <w:tcPr>
            <w:tcW w:w="2877" w:type="dxa"/>
          </w:tcPr>
          <w:p w14:paraId="054CECF9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Communication systems- radios</w:t>
            </w:r>
          </w:p>
        </w:tc>
      </w:tr>
      <w:tr w:rsidR="00C86579" w:rsidRPr="006127AF" w14:paraId="24803644" w14:textId="77777777" w:rsidTr="002106F7">
        <w:tc>
          <w:tcPr>
            <w:tcW w:w="2876" w:type="dxa"/>
          </w:tcPr>
          <w:p w14:paraId="6F63B185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 xml:space="preserve">Drill </w:t>
            </w:r>
          </w:p>
        </w:tc>
        <w:tc>
          <w:tcPr>
            <w:tcW w:w="2877" w:type="dxa"/>
          </w:tcPr>
          <w:p w14:paraId="5E9E3AC5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Quarterly</w:t>
            </w:r>
          </w:p>
        </w:tc>
        <w:tc>
          <w:tcPr>
            <w:tcW w:w="2877" w:type="dxa"/>
          </w:tcPr>
          <w:p w14:paraId="7741705A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Staff notification, evacuation</w:t>
            </w:r>
          </w:p>
        </w:tc>
      </w:tr>
      <w:tr w:rsidR="00C86579" w:rsidRPr="006127AF" w14:paraId="5B52A9AB" w14:textId="77777777" w:rsidTr="002106F7">
        <w:tc>
          <w:tcPr>
            <w:tcW w:w="2876" w:type="dxa"/>
          </w:tcPr>
          <w:p w14:paraId="65AE950F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 xml:space="preserve">Drill </w:t>
            </w:r>
          </w:p>
        </w:tc>
        <w:tc>
          <w:tcPr>
            <w:tcW w:w="2877" w:type="dxa"/>
          </w:tcPr>
          <w:p w14:paraId="75994FCA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Quarterly</w:t>
            </w:r>
          </w:p>
        </w:tc>
        <w:tc>
          <w:tcPr>
            <w:tcW w:w="2877" w:type="dxa"/>
          </w:tcPr>
          <w:p w14:paraId="1596F571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Staff notification, evacuation</w:t>
            </w:r>
          </w:p>
        </w:tc>
      </w:tr>
      <w:tr w:rsidR="00C86579" w:rsidRPr="006127AF" w14:paraId="6A7C1D2B" w14:textId="77777777" w:rsidTr="002106F7">
        <w:tc>
          <w:tcPr>
            <w:tcW w:w="2876" w:type="dxa"/>
          </w:tcPr>
          <w:p w14:paraId="0D43F91D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Tabletop Exercise</w:t>
            </w:r>
          </w:p>
        </w:tc>
        <w:tc>
          <w:tcPr>
            <w:tcW w:w="2877" w:type="dxa"/>
          </w:tcPr>
          <w:p w14:paraId="03B887E9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Annually- alternate every 6 months with FE</w:t>
            </w:r>
          </w:p>
        </w:tc>
        <w:tc>
          <w:tcPr>
            <w:tcW w:w="2877" w:type="dxa"/>
          </w:tcPr>
          <w:p w14:paraId="594295DD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Emergency or business continuity plan</w:t>
            </w:r>
          </w:p>
        </w:tc>
      </w:tr>
      <w:tr w:rsidR="00C86579" w:rsidRPr="006127AF" w14:paraId="17AE1FC0" w14:textId="77777777" w:rsidTr="002106F7">
        <w:tc>
          <w:tcPr>
            <w:tcW w:w="2876" w:type="dxa"/>
          </w:tcPr>
          <w:p w14:paraId="3677EB50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Functional Exercise</w:t>
            </w:r>
          </w:p>
        </w:tc>
        <w:tc>
          <w:tcPr>
            <w:tcW w:w="2877" w:type="dxa"/>
          </w:tcPr>
          <w:p w14:paraId="318B3D19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Annually- alternate every 6 months with TTX</w:t>
            </w:r>
          </w:p>
        </w:tc>
        <w:tc>
          <w:tcPr>
            <w:tcW w:w="2877" w:type="dxa"/>
          </w:tcPr>
          <w:p w14:paraId="45B3A42D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Emergency or business continuity plan</w:t>
            </w:r>
          </w:p>
        </w:tc>
      </w:tr>
      <w:tr w:rsidR="00C86579" w:rsidRPr="006127AF" w14:paraId="5B020AA1" w14:textId="77777777" w:rsidTr="002106F7">
        <w:tc>
          <w:tcPr>
            <w:tcW w:w="2876" w:type="dxa"/>
          </w:tcPr>
          <w:p w14:paraId="0E04D495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Full Scale Exercise</w:t>
            </w:r>
          </w:p>
        </w:tc>
        <w:tc>
          <w:tcPr>
            <w:tcW w:w="2877" w:type="dxa"/>
          </w:tcPr>
          <w:p w14:paraId="6A5C04B6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 xml:space="preserve">Annually </w:t>
            </w:r>
          </w:p>
        </w:tc>
        <w:tc>
          <w:tcPr>
            <w:tcW w:w="2877" w:type="dxa"/>
          </w:tcPr>
          <w:p w14:paraId="672D96E0" w14:textId="77777777" w:rsidR="00C86579" w:rsidRPr="00C86579" w:rsidRDefault="00C86579" w:rsidP="002106F7">
            <w:pPr>
              <w:pStyle w:val="ListParagraph"/>
              <w:ind w:left="0"/>
              <w:rPr>
                <w:sz w:val="22"/>
                <w:szCs w:val="22"/>
              </w:rPr>
            </w:pPr>
            <w:r w:rsidRPr="00C86579">
              <w:rPr>
                <w:bCs/>
                <w:sz w:val="22"/>
                <w:szCs w:val="22"/>
              </w:rPr>
              <w:t>Community, regional, state exercise</w:t>
            </w:r>
          </w:p>
        </w:tc>
      </w:tr>
    </w:tbl>
    <w:p w14:paraId="785EBAF8" w14:textId="77777777" w:rsidR="00C86579" w:rsidRPr="006127AF" w:rsidRDefault="00C86579" w:rsidP="00C86579">
      <w:pPr>
        <w:pStyle w:val="ListParagraph"/>
      </w:pPr>
    </w:p>
    <w:p w14:paraId="6537BF4B" w14:textId="77777777" w:rsidR="00C86579" w:rsidRDefault="00C86579" w:rsidP="00C86579">
      <w:pPr>
        <w:pStyle w:val="ListParagraph"/>
        <w:rPr>
          <w:b/>
        </w:rPr>
      </w:pPr>
    </w:p>
    <w:p w14:paraId="26B27C2F" w14:textId="77777777" w:rsidR="00C86579" w:rsidRDefault="00C86579" w:rsidP="00C86579">
      <w:pPr>
        <w:pStyle w:val="ListParagraph"/>
        <w:jc w:val="center"/>
        <w:rPr>
          <w:b/>
        </w:rPr>
      </w:pPr>
      <w:r w:rsidRPr="009A1DBD">
        <w:rPr>
          <w:b/>
        </w:rPr>
        <w:t>Plan Maintenance Recommendation Table</w:t>
      </w:r>
    </w:p>
    <w:p w14:paraId="2852EC0B" w14:textId="77777777" w:rsidR="00C86579" w:rsidRDefault="00C86579" w:rsidP="00C86579">
      <w:pPr>
        <w:pStyle w:val="ListParagraph"/>
      </w:pPr>
      <w:r w:rsidRPr="006127AF">
        <w:t xml:space="preserve">Below are recommendations for when to </w:t>
      </w:r>
      <w:r>
        <w:t xml:space="preserve">review your </w:t>
      </w:r>
      <w:r w:rsidRPr="006127AF">
        <w:rPr>
          <w:bCs/>
          <w:lang w:val="x-none"/>
        </w:rPr>
        <w:t>Comprehensive Emergency Management Plan</w:t>
      </w:r>
      <w:r>
        <w:rPr>
          <w:bCs/>
        </w:rPr>
        <w:t xml:space="preserve"> components</w:t>
      </w:r>
      <w:r w:rsidRPr="006127AF">
        <w:t xml:space="preserve">. </w:t>
      </w:r>
    </w:p>
    <w:p w14:paraId="5B1306B9" w14:textId="77777777" w:rsidR="00C86579" w:rsidRPr="006127AF" w:rsidRDefault="00C86579" w:rsidP="00C86579">
      <w:pPr>
        <w:pStyle w:val="ListParagraph"/>
      </w:pPr>
    </w:p>
    <w:tbl>
      <w:tblPr>
        <w:tblW w:w="8640" w:type="dxa"/>
        <w:tblInd w:w="7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726"/>
        <w:gridCol w:w="3780"/>
        <w:gridCol w:w="2134"/>
      </w:tblGrid>
      <w:tr w:rsidR="00C86579" w:rsidRPr="006127AF" w14:paraId="3E6274C1" w14:textId="77777777" w:rsidTr="002106F7">
        <w:trPr>
          <w:tblHeader/>
        </w:trPr>
        <w:tc>
          <w:tcPr>
            <w:tcW w:w="2726" w:type="dxa"/>
            <w:shd w:val="clear" w:color="auto" w:fill="FA993F"/>
            <w:vAlign w:val="center"/>
          </w:tcPr>
          <w:p w14:paraId="10363B17" w14:textId="77777777" w:rsidR="00C86579" w:rsidRPr="006127AF" w:rsidRDefault="00C86579" w:rsidP="002106F7">
            <w:bookmarkStart w:id="1" w:name="_Toc414868970"/>
            <w:r w:rsidRPr="006127AF">
              <w:rPr>
                <w:b/>
                <w:bCs/>
                <w:sz w:val="22"/>
                <w:szCs w:val="22"/>
              </w:rPr>
              <w:t>Plan Update Recommendations</w:t>
            </w:r>
            <w:bookmarkEnd w:id="1"/>
          </w:p>
        </w:tc>
        <w:tc>
          <w:tcPr>
            <w:tcW w:w="3780" w:type="dxa"/>
            <w:shd w:val="clear" w:color="auto" w:fill="FA993F"/>
            <w:vAlign w:val="center"/>
          </w:tcPr>
          <w:p w14:paraId="0B8593B6" w14:textId="77777777" w:rsidR="00C86579" w:rsidRPr="006127AF" w:rsidRDefault="00C86579" w:rsidP="002106F7">
            <w:bookmarkStart w:id="2" w:name="_Toc414868971"/>
            <w:r w:rsidRPr="006127AF">
              <w:rPr>
                <w:b/>
                <w:bCs/>
                <w:sz w:val="22"/>
                <w:szCs w:val="22"/>
              </w:rPr>
              <w:t>Plan Update Tasks</w:t>
            </w:r>
            <w:bookmarkEnd w:id="2"/>
          </w:p>
        </w:tc>
        <w:tc>
          <w:tcPr>
            <w:tcW w:w="2134" w:type="dxa"/>
            <w:shd w:val="clear" w:color="auto" w:fill="FA993F"/>
            <w:vAlign w:val="center"/>
          </w:tcPr>
          <w:p w14:paraId="1E8062FE" w14:textId="77777777" w:rsidR="00C86579" w:rsidRPr="006127AF" w:rsidRDefault="00C86579" w:rsidP="002106F7">
            <w:bookmarkStart w:id="3" w:name="_Toc414868972"/>
            <w:r w:rsidRPr="006127AF">
              <w:rPr>
                <w:b/>
                <w:bCs/>
                <w:sz w:val="22"/>
                <w:szCs w:val="22"/>
              </w:rPr>
              <w:t>Timeline</w:t>
            </w:r>
            <w:bookmarkEnd w:id="3"/>
          </w:p>
        </w:tc>
      </w:tr>
      <w:tr w:rsidR="00C86579" w:rsidRPr="006127AF" w14:paraId="7E3C9F69" w14:textId="77777777" w:rsidTr="002106F7">
        <w:tc>
          <w:tcPr>
            <w:tcW w:w="2726" w:type="dxa"/>
            <w:vAlign w:val="center"/>
          </w:tcPr>
          <w:p w14:paraId="6225D8B8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Plan update and certification</w:t>
            </w:r>
          </w:p>
        </w:tc>
        <w:tc>
          <w:tcPr>
            <w:tcW w:w="3780" w:type="dxa"/>
            <w:vAlign w:val="center"/>
          </w:tcPr>
          <w:p w14:paraId="60F7E50E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Review entire plan for accuracy</w:t>
            </w:r>
          </w:p>
          <w:p w14:paraId="211B3E9A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Incorporate lessons learned and changes in policy &amp; procedures</w:t>
            </w:r>
          </w:p>
          <w:p w14:paraId="2D3D5EBB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Manage distribution of plan updates</w:t>
            </w:r>
          </w:p>
        </w:tc>
        <w:tc>
          <w:tcPr>
            <w:tcW w:w="2134" w:type="dxa"/>
            <w:vAlign w:val="center"/>
          </w:tcPr>
          <w:p w14:paraId="2667FC09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 xml:space="preserve">Annually </w:t>
            </w:r>
          </w:p>
        </w:tc>
      </w:tr>
      <w:tr w:rsidR="00C86579" w:rsidRPr="006127AF" w14:paraId="1F381838" w14:textId="77777777" w:rsidTr="002106F7">
        <w:tc>
          <w:tcPr>
            <w:tcW w:w="2726" w:type="dxa"/>
            <w:vAlign w:val="center"/>
          </w:tcPr>
          <w:p w14:paraId="76BC7D8C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Maintain and update Orders of Succession and Delegations of Authority</w:t>
            </w:r>
          </w:p>
        </w:tc>
        <w:tc>
          <w:tcPr>
            <w:tcW w:w="3780" w:type="dxa"/>
            <w:vAlign w:val="center"/>
          </w:tcPr>
          <w:p w14:paraId="38294E2F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Obtain names of current incumbents and designated successors</w:t>
            </w:r>
          </w:p>
          <w:p w14:paraId="23A93153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Update Delegation of authorities</w:t>
            </w:r>
          </w:p>
        </w:tc>
        <w:tc>
          <w:tcPr>
            <w:tcW w:w="2134" w:type="dxa"/>
            <w:vAlign w:val="center"/>
          </w:tcPr>
          <w:p w14:paraId="2CD6053C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As needed, or</w:t>
            </w:r>
          </w:p>
          <w:p w14:paraId="29939E99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Annually</w:t>
            </w:r>
          </w:p>
        </w:tc>
      </w:tr>
      <w:tr w:rsidR="00C86579" w:rsidRPr="006127AF" w14:paraId="48155B77" w14:textId="77777777" w:rsidTr="002106F7">
        <w:tc>
          <w:tcPr>
            <w:tcW w:w="2726" w:type="dxa"/>
            <w:vAlign w:val="center"/>
          </w:tcPr>
          <w:p w14:paraId="4605DE81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Checklists and Emergency Contacts</w:t>
            </w:r>
          </w:p>
        </w:tc>
        <w:tc>
          <w:tcPr>
            <w:tcW w:w="3780" w:type="dxa"/>
            <w:vAlign w:val="center"/>
          </w:tcPr>
          <w:p w14:paraId="6A35E39C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Update and revise checklists and emergency contact lists</w:t>
            </w:r>
          </w:p>
          <w:p w14:paraId="3069D554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Ensure annual update/validation</w:t>
            </w:r>
          </w:p>
        </w:tc>
        <w:tc>
          <w:tcPr>
            <w:tcW w:w="2134" w:type="dxa"/>
            <w:vAlign w:val="center"/>
          </w:tcPr>
          <w:p w14:paraId="6729C271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 xml:space="preserve">Quarterly </w:t>
            </w:r>
          </w:p>
        </w:tc>
      </w:tr>
      <w:tr w:rsidR="00C86579" w:rsidRPr="006127AF" w14:paraId="343077BE" w14:textId="77777777" w:rsidTr="002106F7">
        <w:tc>
          <w:tcPr>
            <w:tcW w:w="2726" w:type="dxa"/>
            <w:vAlign w:val="center"/>
          </w:tcPr>
          <w:p w14:paraId="7662CC14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 xml:space="preserve">Update roster of Incident Command Team </w:t>
            </w:r>
          </w:p>
        </w:tc>
        <w:tc>
          <w:tcPr>
            <w:tcW w:w="3780" w:type="dxa"/>
            <w:vAlign w:val="center"/>
          </w:tcPr>
          <w:p w14:paraId="473C1207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 xml:space="preserve">Update information on members of the Incident Command Team </w:t>
            </w:r>
          </w:p>
        </w:tc>
        <w:tc>
          <w:tcPr>
            <w:tcW w:w="2134" w:type="dxa"/>
            <w:vAlign w:val="center"/>
          </w:tcPr>
          <w:p w14:paraId="668C6CA2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Quarterly</w:t>
            </w:r>
          </w:p>
        </w:tc>
      </w:tr>
      <w:tr w:rsidR="00C86579" w:rsidRPr="006127AF" w14:paraId="108AE66A" w14:textId="77777777" w:rsidTr="002106F7">
        <w:tc>
          <w:tcPr>
            <w:tcW w:w="2726" w:type="dxa"/>
            <w:vAlign w:val="center"/>
          </w:tcPr>
          <w:p w14:paraId="426E7549" w14:textId="361FB4C6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 xml:space="preserve">Appoint new members of the </w:t>
            </w:r>
            <w:r>
              <w:rPr>
                <w:bCs/>
                <w:sz w:val="22"/>
                <w:szCs w:val="22"/>
              </w:rPr>
              <w:t xml:space="preserve">Safety Committee and </w:t>
            </w:r>
            <w:r w:rsidRPr="006127AF">
              <w:rPr>
                <w:bCs/>
                <w:sz w:val="22"/>
                <w:szCs w:val="22"/>
              </w:rPr>
              <w:t>Business Continuity Team</w:t>
            </w:r>
          </w:p>
        </w:tc>
        <w:tc>
          <w:tcPr>
            <w:tcW w:w="3780" w:type="dxa"/>
            <w:vAlign w:val="center"/>
          </w:tcPr>
          <w:p w14:paraId="22965361" w14:textId="7BB00168" w:rsidR="00C86579" w:rsidRPr="006127AF" w:rsidRDefault="00C86579" w:rsidP="00C86579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Update as members of the Team</w:t>
            </w:r>
            <w:r>
              <w:rPr>
                <w:bCs/>
                <w:sz w:val="22"/>
                <w:szCs w:val="22"/>
              </w:rPr>
              <w:t>s</w:t>
            </w:r>
            <w:r w:rsidRPr="006127AF">
              <w:rPr>
                <w:bCs/>
                <w:sz w:val="22"/>
                <w:szCs w:val="22"/>
              </w:rPr>
              <w:t xml:space="preserve"> change</w:t>
            </w:r>
          </w:p>
        </w:tc>
        <w:tc>
          <w:tcPr>
            <w:tcW w:w="2134" w:type="dxa"/>
            <w:vAlign w:val="center"/>
          </w:tcPr>
          <w:p w14:paraId="7C096C41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As needed</w:t>
            </w:r>
          </w:p>
        </w:tc>
      </w:tr>
      <w:tr w:rsidR="00C86579" w:rsidRPr="006127AF" w14:paraId="123374C3" w14:textId="77777777" w:rsidTr="002106F7">
        <w:tc>
          <w:tcPr>
            <w:tcW w:w="2726" w:type="dxa"/>
            <w:vAlign w:val="center"/>
          </w:tcPr>
          <w:p w14:paraId="3BB61A18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Maintain Emergency Supplies and Equipment</w:t>
            </w:r>
          </w:p>
        </w:tc>
        <w:tc>
          <w:tcPr>
            <w:tcW w:w="3780" w:type="dxa"/>
            <w:vAlign w:val="center"/>
          </w:tcPr>
          <w:p w14:paraId="5413DD4A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 xml:space="preserve">Inventory and rotate as necessary, all emergency supplies and equipment </w:t>
            </w:r>
          </w:p>
        </w:tc>
        <w:tc>
          <w:tcPr>
            <w:tcW w:w="2134" w:type="dxa"/>
            <w:vAlign w:val="center"/>
          </w:tcPr>
          <w:p w14:paraId="191D402B" w14:textId="77777777" w:rsidR="00C86579" w:rsidRPr="006127AF" w:rsidRDefault="00C86579" w:rsidP="002106F7">
            <w:pPr>
              <w:rPr>
                <w:bCs/>
                <w:sz w:val="22"/>
                <w:szCs w:val="22"/>
              </w:rPr>
            </w:pPr>
            <w:r w:rsidRPr="006127AF">
              <w:rPr>
                <w:bCs/>
                <w:sz w:val="22"/>
                <w:szCs w:val="22"/>
              </w:rPr>
              <w:t>Quarterly</w:t>
            </w:r>
          </w:p>
        </w:tc>
      </w:tr>
    </w:tbl>
    <w:p w14:paraId="5F1518B8" w14:textId="77777777" w:rsidR="00C86579" w:rsidRDefault="00C86579" w:rsidP="00A86C42">
      <w:pPr>
        <w:rPr>
          <w:rStyle w:val="HTMLCite"/>
        </w:rPr>
      </w:pPr>
    </w:p>
    <w:p w14:paraId="4910A543" w14:textId="77777777" w:rsidR="00050EAE" w:rsidRPr="00105372" w:rsidRDefault="00050EAE" w:rsidP="00A86C42"/>
    <w:sectPr w:rsidR="00050EAE" w:rsidRPr="00105372" w:rsidSect="00A86C4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9498" w14:textId="77777777" w:rsidR="001E703D" w:rsidRDefault="001E703D">
      <w:r>
        <w:separator/>
      </w:r>
    </w:p>
  </w:endnote>
  <w:endnote w:type="continuationSeparator" w:id="0">
    <w:p w14:paraId="6EC67A81" w14:textId="77777777" w:rsidR="001E703D" w:rsidRDefault="001E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3711" w14:textId="226174F1" w:rsidR="00AE5C63" w:rsidRPr="00A86C42" w:rsidRDefault="003619BF" w:rsidP="00A86C42">
    <w:pPr>
      <w:pStyle w:val="Footer"/>
      <w:jc w:val="right"/>
      <w:rPr>
        <w:sz w:val="22"/>
      </w:rPr>
    </w:pPr>
    <w:r>
      <w:rPr>
        <w:sz w:val="22"/>
      </w:rPr>
      <w:t>CCS</w:t>
    </w:r>
    <w:r w:rsidR="00AE5C63" w:rsidRPr="00A86C42">
      <w:rPr>
        <w:sz w:val="22"/>
      </w:rPr>
      <w:t xml:space="preserve"> CHC Tabletop Exercise Planning Checklist</w:t>
    </w:r>
    <w:r w:rsidR="00AE5C63">
      <w:rPr>
        <w:sz w:val="22"/>
      </w:rPr>
      <w:t xml:space="preserve"> Page </w:t>
    </w:r>
    <w:r w:rsidR="00AE5C63" w:rsidRPr="00A86C42">
      <w:rPr>
        <w:rStyle w:val="PageNumber"/>
        <w:sz w:val="22"/>
      </w:rPr>
      <w:fldChar w:fldCharType="begin"/>
    </w:r>
    <w:r w:rsidR="00AE5C63" w:rsidRPr="00A86C42">
      <w:rPr>
        <w:rStyle w:val="PageNumber"/>
        <w:sz w:val="22"/>
      </w:rPr>
      <w:instrText xml:space="preserve"> PAGE </w:instrText>
    </w:r>
    <w:r w:rsidR="00AE5C63" w:rsidRPr="00A86C42">
      <w:rPr>
        <w:rStyle w:val="PageNumber"/>
        <w:sz w:val="22"/>
      </w:rPr>
      <w:fldChar w:fldCharType="separate"/>
    </w:r>
    <w:r w:rsidR="00884151">
      <w:rPr>
        <w:rStyle w:val="PageNumber"/>
        <w:noProof/>
        <w:sz w:val="22"/>
      </w:rPr>
      <w:t>2</w:t>
    </w:r>
    <w:r w:rsidR="00AE5C63" w:rsidRPr="00A86C42">
      <w:rPr>
        <w:rStyle w:val="PageNumb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DBDB" w14:textId="6FBE2C9B" w:rsidR="00AE5C63" w:rsidRDefault="000C6737" w:rsidP="000C673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Connect Consulting Services, Inc. </w:t>
    </w:r>
    <w:hyperlink r:id="rId1" w:history="1">
      <w:r w:rsidRPr="00387418">
        <w:rPr>
          <w:rStyle w:val="Hyperlink"/>
          <w:sz w:val="22"/>
          <w:szCs w:val="22"/>
        </w:rPr>
        <w:t>www.ConnectConsulting.biz</w:t>
      </w:r>
    </w:hyperlink>
  </w:p>
  <w:p w14:paraId="7804E963" w14:textId="055EFDFF" w:rsidR="000C6737" w:rsidRPr="000C6737" w:rsidRDefault="000C6737" w:rsidP="000C6737">
    <w:pPr>
      <w:pStyle w:val="Footer"/>
      <w:jc w:val="center"/>
      <w:rPr>
        <w:sz w:val="22"/>
        <w:szCs w:val="22"/>
      </w:rPr>
    </w:pPr>
    <w:hyperlink r:id="rId2" w:history="1">
      <w:r w:rsidRPr="00387418">
        <w:rPr>
          <w:rStyle w:val="Hyperlink"/>
          <w:sz w:val="22"/>
          <w:szCs w:val="22"/>
        </w:rPr>
        <w:t>Connect@ConnectConsulting.biz</w:t>
      </w:r>
    </w:hyperlink>
    <w:r>
      <w:rPr>
        <w:sz w:val="22"/>
        <w:szCs w:val="22"/>
      </w:rPr>
      <w:t xml:space="preserve"> 916 758-3220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12FD" w14:textId="77777777" w:rsidR="001E703D" w:rsidRDefault="001E703D">
      <w:r>
        <w:separator/>
      </w:r>
    </w:p>
  </w:footnote>
  <w:footnote w:type="continuationSeparator" w:id="0">
    <w:p w14:paraId="7E4680C9" w14:textId="77777777" w:rsidR="001E703D" w:rsidRDefault="001E70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AD8B" w14:textId="77777777" w:rsidR="00AE5C63" w:rsidRDefault="00AE5C63" w:rsidP="00A86C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1236"/>
    <w:multiLevelType w:val="hybridMultilevel"/>
    <w:tmpl w:val="8D961724"/>
    <w:lvl w:ilvl="0" w:tplc="A1F026F4">
      <w:start w:val="5"/>
      <w:numFmt w:val="bullet"/>
      <w:lvlText w:val="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718CF"/>
    <w:multiLevelType w:val="hybridMultilevel"/>
    <w:tmpl w:val="0B12FF28"/>
    <w:lvl w:ilvl="0" w:tplc="A1F026F4">
      <w:start w:val="5"/>
      <w:numFmt w:val="bullet"/>
      <w:lvlText w:val="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6BA4"/>
    <w:multiLevelType w:val="hybridMultilevel"/>
    <w:tmpl w:val="5EE63966"/>
    <w:lvl w:ilvl="0" w:tplc="A1F026F4">
      <w:start w:val="5"/>
      <w:numFmt w:val="bullet"/>
      <w:lvlText w:val="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3B72"/>
    <w:multiLevelType w:val="hybridMultilevel"/>
    <w:tmpl w:val="91C23E88"/>
    <w:lvl w:ilvl="0" w:tplc="A1F026F4">
      <w:start w:val="5"/>
      <w:numFmt w:val="bullet"/>
      <w:lvlText w:val="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96059"/>
    <w:multiLevelType w:val="hybridMultilevel"/>
    <w:tmpl w:val="F58A4012"/>
    <w:lvl w:ilvl="0" w:tplc="A1F026F4">
      <w:start w:val="5"/>
      <w:numFmt w:val="bullet"/>
      <w:lvlText w:val=""/>
      <w:lvlJc w:val="left"/>
      <w:pPr>
        <w:ind w:left="8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E"/>
    <w:rsid w:val="00050EAE"/>
    <w:rsid w:val="00090CC6"/>
    <w:rsid w:val="000C6737"/>
    <w:rsid w:val="00105372"/>
    <w:rsid w:val="001E703D"/>
    <w:rsid w:val="002A0F7D"/>
    <w:rsid w:val="002D35C2"/>
    <w:rsid w:val="002E68F4"/>
    <w:rsid w:val="002F587C"/>
    <w:rsid w:val="003619BF"/>
    <w:rsid w:val="00406D4F"/>
    <w:rsid w:val="00407ACC"/>
    <w:rsid w:val="004101C4"/>
    <w:rsid w:val="004571F3"/>
    <w:rsid w:val="005E1E8C"/>
    <w:rsid w:val="00713DE9"/>
    <w:rsid w:val="007B4624"/>
    <w:rsid w:val="007D43FD"/>
    <w:rsid w:val="008605BA"/>
    <w:rsid w:val="00884151"/>
    <w:rsid w:val="009E532D"/>
    <w:rsid w:val="00A0638B"/>
    <w:rsid w:val="00A619FB"/>
    <w:rsid w:val="00A86C42"/>
    <w:rsid w:val="00AB4E7E"/>
    <w:rsid w:val="00AE5C63"/>
    <w:rsid w:val="00B314DF"/>
    <w:rsid w:val="00BF6B07"/>
    <w:rsid w:val="00C30EC8"/>
    <w:rsid w:val="00C86579"/>
    <w:rsid w:val="00CA38DB"/>
    <w:rsid w:val="00CD618E"/>
    <w:rsid w:val="00D658E5"/>
    <w:rsid w:val="00DC5A25"/>
    <w:rsid w:val="00DF648F"/>
    <w:rsid w:val="00E107D8"/>
    <w:rsid w:val="00E929D9"/>
    <w:rsid w:val="00F72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F2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42"/>
    <w:rPr>
      <w:sz w:val="24"/>
      <w:szCs w:val="24"/>
    </w:rPr>
  </w:style>
  <w:style w:type="character" w:styleId="PageNumber">
    <w:name w:val="page number"/>
    <w:basedOn w:val="DefaultParagraphFont"/>
    <w:rsid w:val="00A86C42"/>
  </w:style>
  <w:style w:type="character" w:styleId="HTMLCite">
    <w:name w:val="HTML Cite"/>
    <w:basedOn w:val="DefaultParagraphFont"/>
    <w:uiPriority w:val="99"/>
    <w:rsid w:val="00105372"/>
    <w:rPr>
      <w:i/>
    </w:rPr>
  </w:style>
  <w:style w:type="character" w:styleId="Hyperlink">
    <w:name w:val="Hyperlink"/>
    <w:basedOn w:val="DefaultParagraphFont"/>
    <w:rsid w:val="001053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053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6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3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0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yperlink" Target="csrc.nist.gov/publications/nistpubs/800-84/SP800-84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nectConsulting.biz" TargetMode="External"/><Relationship Id="rId2" Type="http://schemas.openxmlformats.org/officeDocument/2006/relationships/hyperlink" Target="mailto:Connect@ConnectConsulting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Wakeman</dc:creator>
  <cp:keywords/>
  <cp:lastModifiedBy>Nora O'Brien</cp:lastModifiedBy>
  <cp:revision>2</cp:revision>
  <dcterms:created xsi:type="dcterms:W3CDTF">2017-06-26T17:41:00Z</dcterms:created>
  <dcterms:modified xsi:type="dcterms:W3CDTF">2017-06-26T17:41:00Z</dcterms:modified>
</cp:coreProperties>
</file>